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cs="黑体"/>
          <w:sz w:val="32"/>
          <w:szCs w:val="32"/>
        </w:rPr>
      </w:pPr>
      <w:r>
        <w:rPr>
          <w:rFonts w:hint="eastAsia" w:ascii="黑体" w:hAnsi="黑体" w:eastAsia="黑体" w:cs="黑体"/>
          <w:sz w:val="32"/>
          <w:szCs w:val="32"/>
        </w:rPr>
        <w:t>附件</w:t>
      </w:r>
    </w:p>
    <w:p>
      <w:pPr>
        <w:rPr>
          <w:rFonts w:ascii="黑体" w:hAnsi="黑体" w:eastAsia="黑体" w:cs="黑体"/>
          <w:sz w:val="32"/>
          <w:szCs w:val="32"/>
        </w:rPr>
      </w:pPr>
    </w:p>
    <w:p>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2020“工美杯”北京传统工艺美术大赛</w:t>
      </w:r>
    </w:p>
    <w:p>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和第十届北京传统工艺美术珍品评审</w:t>
      </w:r>
    </w:p>
    <w:p>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网上申报流程说明</w:t>
      </w:r>
    </w:p>
    <w:p>
      <w:pPr>
        <w:jc w:val="center"/>
        <w:rPr>
          <w:rFonts w:ascii="仿宋_GB2312" w:hAnsi="仿宋_GB2312" w:eastAsia="仿宋_GB2312" w:cs="仿宋_GB2312"/>
          <w:sz w:val="32"/>
          <w:szCs w:val="32"/>
        </w:rPr>
      </w:pPr>
    </w:p>
    <w:p>
      <w:pPr>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为落实国务院和北京市政府深化“互联网+政务服务”改革要求，对传统工艺美术品种、技</w:t>
      </w:r>
      <w:bookmarkStart w:id="0" w:name="_GoBack"/>
      <w:bookmarkEnd w:id="0"/>
      <w:r>
        <w:rPr>
          <w:rFonts w:hint="eastAsia" w:ascii="仿宋_GB2312" w:hAnsi="仿宋_GB2312" w:eastAsia="仿宋_GB2312" w:cs="仿宋_GB2312"/>
          <w:sz w:val="32"/>
          <w:szCs w:val="32"/>
        </w:rPr>
        <w:t>艺和工艺美术珍品及工艺美术大师、民间工艺大师的认定相关事项，将统一通过首都之窗北京市人民政府网登录。现将2020“工美杯”北京传统工艺美术大赛和第十届北京传统工艺美术珍品评审网上申报流程说明如下。</w:t>
      </w:r>
    </w:p>
    <w:p>
      <w:pPr>
        <w:ind w:firstLine="640" w:firstLineChars="200"/>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drawing>
          <wp:anchor distT="0" distB="0" distL="114300" distR="114300" simplePos="0" relativeHeight="251658240" behindDoc="0" locked="0" layoutInCell="1" allowOverlap="1">
            <wp:simplePos x="0" y="0"/>
            <wp:positionH relativeFrom="column">
              <wp:posOffset>-16510</wp:posOffset>
            </wp:positionH>
            <wp:positionV relativeFrom="paragraph">
              <wp:posOffset>942340</wp:posOffset>
            </wp:positionV>
            <wp:extent cx="5274310" cy="2500630"/>
            <wp:effectExtent l="9525" t="9525" r="12065" b="23495"/>
            <wp:wrapSquare wrapText="bothSides"/>
            <wp:docPr id="24" name="图片 24"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1"/>
                    <pic:cNvPicPr>
                      <a:picLocks noChangeAspect="1"/>
                    </pic:cNvPicPr>
                  </pic:nvPicPr>
                  <pic:blipFill>
                    <a:blip r:embed="rId4"/>
                    <a:srcRect b="23800"/>
                    <a:stretch>
                      <a:fillRect/>
                    </a:stretch>
                  </pic:blipFill>
                  <pic:spPr>
                    <a:xfrm>
                      <a:off x="0" y="0"/>
                      <a:ext cx="5274310" cy="2500630"/>
                    </a:xfrm>
                    <a:prstGeom prst="rect">
                      <a:avLst/>
                    </a:prstGeom>
                    <a:noFill/>
                    <a:ln cap="flat" cmpd="sng">
                      <a:solidFill>
                        <a:srgbClr val="000000"/>
                      </a:solidFill>
                      <a:prstDash val="solid"/>
                      <a:round/>
                      <a:headEnd type="none" w="med" len="med"/>
                      <a:tailEnd type="none" w="med" len="med"/>
                    </a:ln>
                  </pic:spPr>
                </pic:pic>
              </a:graphicData>
            </a:graphic>
          </wp:anchor>
        </w:drawing>
      </w:r>
      <w:r>
        <w:rPr>
          <w:rFonts w:hint="eastAsia" w:ascii="仿宋_GB2312" w:hAnsi="仿宋_GB2312" w:eastAsia="仿宋_GB2312" w:cs="仿宋_GB2312"/>
          <w:sz w:val="32"/>
          <w:szCs w:val="32"/>
        </w:rPr>
        <w:t>1.访问 “首都之窗”北京市人民政府网站，输入网址（http://www.beijing.gov.cn）或百度搜索“首都之窗”</w:t>
      </w:r>
      <w:r>
        <w:rPr>
          <w:rFonts w:hint="eastAsia" w:ascii="仿宋_GB2312" w:hAnsi="仿宋_GB2312" w:eastAsia="仿宋_GB2312" w:cs="仿宋_GB2312"/>
          <w:sz w:val="32"/>
          <w:szCs w:val="32"/>
          <w:lang w:eastAsia="zh-CN"/>
        </w:rPr>
        <w:t>。</w:t>
      </w:r>
    </w:p>
    <w:p>
      <w:pPr>
        <w:ind w:firstLine="640" w:firstLineChars="200"/>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2.点击 “政务服务”</w:t>
      </w:r>
      <w:r>
        <w:rPr>
          <w:rFonts w:hint="eastAsia" w:ascii="仿宋_GB2312" w:hAnsi="仿宋_GB2312" w:eastAsia="仿宋_GB2312" w:cs="仿宋_GB2312"/>
          <w:sz w:val="32"/>
          <w:szCs w:val="32"/>
          <w:lang w:eastAsia="zh-CN"/>
        </w:rPr>
        <w:t>。</w:t>
      </w:r>
    </w:p>
    <w:p>
      <w:pPr>
        <w:jc w:val="left"/>
        <w:rPr>
          <w:rFonts w:ascii="仿宋_GB2312" w:hAnsi="仿宋_GB2312" w:eastAsia="仿宋_GB2312" w:cs="仿宋_GB2312"/>
          <w:sz w:val="32"/>
          <w:szCs w:val="32"/>
        </w:rPr>
      </w:pPr>
      <w:r>
        <w:rPr>
          <w:rFonts w:ascii="仿宋_GB2312" w:hAnsi="仿宋_GB2312" w:eastAsia="仿宋_GB2312" w:cs="仿宋_GB2312"/>
          <w:sz w:val="32"/>
          <w:szCs w:val="32"/>
        </w:rPr>
        <w:drawing>
          <wp:inline distT="0" distB="0" distL="0" distR="0">
            <wp:extent cx="5274310" cy="2966720"/>
            <wp:effectExtent l="0" t="0" r="2540" b="508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extLst>
                        <a:ext uri="{28A0092B-C50C-407E-A947-70E740481C1C}">
                          <a14:useLocalDpi xmlns:a14="http://schemas.microsoft.com/office/drawing/2010/main" val="0"/>
                        </a:ext>
                      </a:extLst>
                    </a:blip>
                    <a:stretch>
                      <a:fillRect/>
                    </a:stretch>
                  </pic:blipFill>
                  <pic:spPr>
                    <a:xfrm>
                      <a:off x="0" y="0"/>
                      <a:ext cx="5274310" cy="2966720"/>
                    </a:xfrm>
                    <a:prstGeom prst="rect">
                      <a:avLst/>
                    </a:prstGeom>
                  </pic:spPr>
                </pic:pic>
              </a:graphicData>
            </a:graphic>
          </wp:inline>
        </w:drawing>
      </w:r>
    </w:p>
    <w:p>
      <w:pPr>
        <w:jc w:val="left"/>
        <w:rPr>
          <w:rFonts w:ascii="仿宋_GB2312" w:hAnsi="仿宋_GB2312" w:eastAsia="仿宋_GB2312" w:cs="仿宋_GB2312"/>
          <w:sz w:val="32"/>
          <w:szCs w:val="32"/>
        </w:rPr>
      </w:pPr>
    </w:p>
    <w:p>
      <w:pPr>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3.在页面右上方的“登录个人中心”和“登录法人中心”中选择个人或企业登录。</w:t>
      </w:r>
    </w:p>
    <w:p>
      <w:pPr>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drawing>
          <wp:inline distT="0" distB="0" distL="114300" distR="114300">
            <wp:extent cx="5794375" cy="2908935"/>
            <wp:effectExtent l="9525" t="9525" r="25400" b="15240"/>
            <wp:docPr id="26" name="图片 26"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3"/>
                    <pic:cNvPicPr>
                      <a:picLocks noChangeAspect="1"/>
                    </pic:cNvPicPr>
                  </pic:nvPicPr>
                  <pic:blipFill>
                    <a:blip r:embed="rId6"/>
                    <a:stretch>
                      <a:fillRect/>
                    </a:stretch>
                  </pic:blipFill>
                  <pic:spPr>
                    <a:xfrm>
                      <a:off x="0" y="0"/>
                      <a:ext cx="5794375" cy="2908935"/>
                    </a:xfrm>
                    <a:prstGeom prst="rect">
                      <a:avLst/>
                    </a:prstGeom>
                    <a:ln>
                      <a:solidFill>
                        <a:schemeClr val="tx1"/>
                      </a:solidFill>
                    </a:ln>
                  </pic:spPr>
                </pic:pic>
              </a:graphicData>
            </a:graphic>
          </wp:inline>
        </w:drawing>
      </w:r>
    </w:p>
    <w:p>
      <w:pPr>
        <w:jc w:val="left"/>
        <w:rPr>
          <w:rFonts w:ascii="仿宋_GB2312" w:hAnsi="仿宋_GB2312" w:eastAsia="仿宋_GB2312" w:cs="仿宋_GB2312"/>
          <w:sz w:val="32"/>
          <w:szCs w:val="32"/>
        </w:rPr>
      </w:pPr>
    </w:p>
    <w:p>
      <w:pPr>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4.登录账号</w:t>
      </w:r>
    </w:p>
    <w:p>
      <w:pPr>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b/>
          <w:bCs/>
          <w:sz w:val="32"/>
          <w:szCs w:val="32"/>
        </w:rPr>
        <w:t>已有账号的</w:t>
      </w:r>
      <w:r>
        <w:rPr>
          <w:rFonts w:hint="eastAsia" w:ascii="仿宋_GB2312" w:hAnsi="仿宋_GB2312" w:eastAsia="仿宋_GB2312" w:cs="仿宋_GB2312"/>
          <w:sz w:val="32"/>
          <w:szCs w:val="32"/>
        </w:rPr>
        <w:t>，直接通过账号和密码进行登录；</w:t>
      </w:r>
    </w:p>
    <w:p>
      <w:pPr>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b/>
          <w:bCs/>
          <w:sz w:val="32"/>
          <w:szCs w:val="32"/>
        </w:rPr>
        <w:t>新用户</w:t>
      </w:r>
      <w:r>
        <w:rPr>
          <w:rFonts w:hint="eastAsia" w:ascii="仿宋_GB2312" w:hAnsi="仿宋_GB2312" w:eastAsia="仿宋_GB2312" w:cs="仿宋_GB2312"/>
          <w:sz w:val="32"/>
          <w:szCs w:val="32"/>
        </w:rPr>
        <w:t>，需先进行注册；</w:t>
      </w:r>
    </w:p>
    <w:p>
      <w:pPr>
        <w:ind w:firstLine="640" w:firstLineChars="20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3）</w:t>
      </w:r>
      <w:r>
        <w:rPr>
          <w:rFonts w:hint="eastAsia" w:ascii="仿宋_GB2312" w:hAnsi="仿宋_GB2312" w:eastAsia="仿宋_GB2312" w:cs="仿宋_GB2312"/>
          <w:b/>
          <w:bCs/>
          <w:sz w:val="32"/>
          <w:szCs w:val="32"/>
        </w:rPr>
        <w:t>在北京工艺美术行业服务平台已有账号</w:t>
      </w:r>
      <w:r>
        <w:rPr>
          <w:rFonts w:hint="eastAsia" w:ascii="仿宋_GB2312" w:hAnsi="仿宋_GB2312" w:eastAsia="仿宋_GB2312" w:cs="仿宋_GB2312"/>
          <w:sz w:val="32"/>
          <w:szCs w:val="32"/>
        </w:rPr>
        <w:t>，</w:t>
      </w:r>
      <w:r>
        <w:rPr>
          <w:rFonts w:hint="eastAsia" w:ascii="仿宋_GB2312" w:hAnsi="仿宋_GB2312" w:eastAsia="仿宋_GB2312" w:cs="仿宋_GB2312"/>
          <w:b/>
          <w:sz w:val="32"/>
          <w:szCs w:val="32"/>
        </w:rPr>
        <w:t>但未通过首都之窗网站登录过的用户</w:t>
      </w:r>
      <w:r>
        <w:rPr>
          <w:rFonts w:hint="eastAsia" w:ascii="仿宋_GB2312" w:hAnsi="仿宋_GB2312" w:eastAsia="仿宋_GB2312" w:cs="仿宋_GB2312"/>
          <w:sz w:val="32"/>
          <w:szCs w:val="32"/>
        </w:rPr>
        <w:t>，直接点击登录下方的“忘记密码”，进行密码重置，即可通过身份证号和最新修改的密码进行登录</w:t>
      </w:r>
      <w:r>
        <w:rPr>
          <w:rFonts w:hint="eastAsia" w:ascii="仿宋_GB2312" w:hAnsi="仿宋_GB2312" w:eastAsia="仿宋_GB2312" w:cs="仿宋_GB2312"/>
          <w:sz w:val="32"/>
          <w:szCs w:val="32"/>
          <w:lang w:eastAsia="zh-CN"/>
        </w:rPr>
        <w:t>。</w:t>
      </w:r>
    </w:p>
    <w:p>
      <w:pPr>
        <w:jc w:val="center"/>
        <w:rPr>
          <w:rFonts w:ascii="仿宋_GB2312" w:hAnsi="仿宋_GB2312" w:eastAsia="仿宋_GB2312" w:cs="仿宋_GB2312"/>
          <w:i/>
          <w:iCs/>
          <w:sz w:val="24"/>
          <w:szCs w:val="28"/>
        </w:rPr>
      </w:pPr>
      <w:r>
        <w:rPr>
          <w:rFonts w:hint="eastAsia" w:ascii="仿宋_GB2312" w:hAnsi="仿宋_GB2312" w:eastAsia="仿宋_GB2312" w:cs="仿宋_GB2312"/>
          <w:i/>
          <w:iCs/>
          <w:sz w:val="28"/>
          <w:szCs w:val="28"/>
        </w:rPr>
        <w:drawing>
          <wp:inline distT="0" distB="0" distL="114300" distR="114300">
            <wp:extent cx="5245100" cy="5048250"/>
            <wp:effectExtent l="9525" t="9525" r="22225" b="9525"/>
            <wp:docPr id="27" name="图片 27"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4"/>
                    <pic:cNvPicPr>
                      <a:picLocks noChangeAspect="1"/>
                    </pic:cNvPicPr>
                  </pic:nvPicPr>
                  <pic:blipFill>
                    <a:blip r:embed="rId7"/>
                    <a:stretch>
                      <a:fillRect/>
                    </a:stretch>
                  </pic:blipFill>
                  <pic:spPr>
                    <a:xfrm>
                      <a:off x="0" y="0"/>
                      <a:ext cx="5245100" cy="5048250"/>
                    </a:xfrm>
                    <a:prstGeom prst="rect">
                      <a:avLst/>
                    </a:prstGeom>
                    <a:ln>
                      <a:solidFill>
                        <a:schemeClr val="tx1"/>
                      </a:solidFill>
                    </a:ln>
                  </pic:spPr>
                </pic:pic>
              </a:graphicData>
            </a:graphic>
          </wp:inline>
        </w:drawing>
      </w:r>
      <w:r>
        <w:rPr>
          <w:rFonts w:hint="eastAsia" w:ascii="仿宋_GB2312" w:hAnsi="仿宋_GB2312" w:eastAsia="仿宋_GB2312" w:cs="仿宋_GB2312"/>
          <w:i/>
          <w:iCs/>
          <w:sz w:val="24"/>
          <w:szCs w:val="28"/>
        </w:rPr>
        <w:t>个人登录页面</w:t>
      </w:r>
    </w:p>
    <w:p>
      <w:pPr>
        <w:rPr>
          <w:rFonts w:ascii="仿宋_GB2312" w:hAnsi="仿宋_GB2312" w:eastAsia="仿宋_GB2312" w:cs="仿宋_GB2312"/>
          <w:sz w:val="28"/>
          <w:szCs w:val="28"/>
        </w:rPr>
      </w:pPr>
      <w:r>
        <w:rPr>
          <w:rFonts w:ascii="仿宋_GB2312" w:hAnsi="仿宋_GB2312" w:eastAsia="仿宋_GB2312" w:cs="仿宋_GB2312"/>
          <w:sz w:val="28"/>
          <w:szCs w:val="28"/>
        </w:rPr>
        <w:drawing>
          <wp:inline distT="0" distB="0" distL="0" distR="0">
            <wp:extent cx="5274310" cy="3990340"/>
            <wp:effectExtent l="19050" t="19050" r="21590" b="1016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5274310" cy="3990340"/>
                    </a:xfrm>
                    <a:prstGeom prst="rect">
                      <a:avLst/>
                    </a:prstGeom>
                    <a:ln>
                      <a:solidFill>
                        <a:schemeClr val="tx1"/>
                      </a:solidFill>
                    </a:ln>
                  </pic:spPr>
                </pic:pic>
              </a:graphicData>
            </a:graphic>
          </wp:inline>
        </w:drawing>
      </w:r>
    </w:p>
    <w:p>
      <w:pPr>
        <w:jc w:val="center"/>
        <w:rPr>
          <w:rFonts w:ascii="仿宋_GB2312" w:hAnsi="仿宋_GB2312" w:eastAsia="仿宋_GB2312" w:cs="仿宋_GB2312"/>
          <w:i/>
          <w:iCs/>
          <w:sz w:val="24"/>
          <w:szCs w:val="28"/>
        </w:rPr>
      </w:pPr>
      <w:r>
        <w:rPr>
          <w:rFonts w:hint="eastAsia" w:ascii="仿宋_GB2312" w:hAnsi="仿宋_GB2312" w:eastAsia="仿宋_GB2312" w:cs="仿宋_GB2312"/>
          <w:i/>
          <w:iCs/>
          <w:sz w:val="24"/>
          <w:szCs w:val="28"/>
        </w:rPr>
        <w:t>企业登录页面</w:t>
      </w:r>
    </w:p>
    <w:p>
      <w:pPr>
        <w:ind w:firstLine="640" w:firstLineChars="200"/>
        <w:jc w:val="left"/>
        <w:rPr>
          <w:rFonts w:ascii="仿宋_GB2312" w:hAnsi="仿宋_GB2312" w:eastAsia="仿宋_GB2312" w:cs="仿宋_GB2312"/>
          <w:sz w:val="32"/>
          <w:szCs w:val="32"/>
        </w:rPr>
      </w:pPr>
    </w:p>
    <w:p>
      <w:pPr>
        <w:ind w:firstLine="640" w:firstLineChars="200"/>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5.登录账户后，点击“</w:t>
      </w:r>
      <w:r>
        <w:rPr>
          <w:rFonts w:hint="eastAsia" w:ascii="仿宋_GB2312" w:hAnsi="仿宋_GB2312" w:eastAsia="仿宋_GB2312" w:cs="仿宋_GB2312"/>
          <w:sz w:val="32"/>
          <w:szCs w:val="32"/>
          <w:lang w:eastAsia="zh-CN"/>
        </w:rPr>
        <w:t>政务服务</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w:t>
      </w:r>
    </w:p>
    <w:p>
      <w:pPr>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drawing>
          <wp:inline distT="0" distB="0" distL="114300" distR="114300">
            <wp:extent cx="5269230" cy="1402080"/>
            <wp:effectExtent l="9525" t="9525" r="17145" b="17145"/>
            <wp:docPr id="28" name="图片 28"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6"/>
                    <pic:cNvPicPr>
                      <a:picLocks noChangeAspect="1"/>
                    </pic:cNvPicPr>
                  </pic:nvPicPr>
                  <pic:blipFill>
                    <a:blip r:embed="rId9"/>
                    <a:stretch>
                      <a:fillRect/>
                    </a:stretch>
                  </pic:blipFill>
                  <pic:spPr>
                    <a:xfrm>
                      <a:off x="0" y="0"/>
                      <a:ext cx="5269230" cy="1402080"/>
                    </a:xfrm>
                    <a:prstGeom prst="rect">
                      <a:avLst/>
                    </a:prstGeom>
                    <a:ln>
                      <a:solidFill>
                        <a:schemeClr val="tx1"/>
                      </a:solidFill>
                    </a:ln>
                  </pic:spPr>
                </pic:pic>
              </a:graphicData>
            </a:graphic>
          </wp:inline>
        </w:drawing>
      </w:r>
    </w:p>
    <w:p>
      <w:pPr>
        <w:ind w:firstLine="640" w:firstLineChars="200"/>
        <w:jc w:val="left"/>
        <w:rPr>
          <w:rFonts w:ascii="仿宋_GB2312" w:hAnsi="仿宋_GB2312" w:eastAsia="仿宋_GB2312" w:cs="仿宋_GB2312"/>
          <w:sz w:val="32"/>
          <w:szCs w:val="32"/>
        </w:rPr>
      </w:pPr>
    </w:p>
    <w:p>
      <w:pPr>
        <w:ind w:firstLine="640" w:firstLineChars="200"/>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6.点击“</w:t>
      </w:r>
      <w:r>
        <w:rPr>
          <w:rFonts w:hint="eastAsia" w:ascii="仿宋_GB2312" w:hAnsi="仿宋_GB2312" w:eastAsia="仿宋_GB2312" w:cs="仿宋_GB2312"/>
          <w:sz w:val="32"/>
          <w:szCs w:val="32"/>
          <w:lang w:eastAsia="zh-CN"/>
        </w:rPr>
        <w:t>部门服务</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w:t>
      </w:r>
    </w:p>
    <w:p>
      <w:pPr>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drawing>
          <wp:inline distT="0" distB="0" distL="114300" distR="114300">
            <wp:extent cx="5271135" cy="2620010"/>
            <wp:effectExtent l="9525" t="9525" r="15240" b="18415"/>
            <wp:docPr id="29" name="图片 29" descr="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7"/>
                    <pic:cNvPicPr>
                      <a:picLocks noChangeAspect="1"/>
                    </pic:cNvPicPr>
                  </pic:nvPicPr>
                  <pic:blipFill>
                    <a:blip r:embed="rId10"/>
                    <a:stretch>
                      <a:fillRect/>
                    </a:stretch>
                  </pic:blipFill>
                  <pic:spPr>
                    <a:xfrm>
                      <a:off x="0" y="0"/>
                      <a:ext cx="5271135" cy="2620010"/>
                    </a:xfrm>
                    <a:prstGeom prst="rect">
                      <a:avLst/>
                    </a:prstGeom>
                    <a:ln>
                      <a:solidFill>
                        <a:schemeClr val="tx1"/>
                      </a:solidFill>
                    </a:ln>
                  </pic:spPr>
                </pic:pic>
              </a:graphicData>
            </a:graphic>
          </wp:inline>
        </w:drawing>
      </w:r>
    </w:p>
    <w:p>
      <w:pPr>
        <w:ind w:firstLine="640" w:firstLineChars="200"/>
        <w:jc w:val="left"/>
        <w:rPr>
          <w:rFonts w:ascii="仿宋_GB2312" w:hAnsi="仿宋_GB2312" w:eastAsia="仿宋_GB2312" w:cs="仿宋_GB2312"/>
          <w:sz w:val="32"/>
          <w:szCs w:val="32"/>
        </w:rPr>
      </w:pPr>
    </w:p>
    <w:p>
      <w:pPr>
        <w:ind w:firstLine="640" w:firstLineChars="200"/>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7.选择市经济</w:t>
      </w:r>
      <w:r>
        <w:rPr>
          <w:rFonts w:hint="eastAsia" w:ascii="仿宋_GB2312" w:hAnsi="仿宋_GB2312" w:eastAsia="仿宋_GB2312" w:cs="仿宋_GB2312"/>
          <w:sz w:val="32"/>
          <w:szCs w:val="32"/>
          <w:lang w:eastAsia="zh-CN"/>
        </w:rPr>
        <w:t>和信息化局。</w:t>
      </w:r>
    </w:p>
    <w:p>
      <w:pPr>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drawing>
          <wp:inline distT="0" distB="0" distL="114300" distR="114300">
            <wp:extent cx="5273040" cy="2731770"/>
            <wp:effectExtent l="9525" t="9525" r="13335" b="20955"/>
            <wp:docPr id="30" name="图片 30" descr="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8"/>
                    <pic:cNvPicPr>
                      <a:picLocks noChangeAspect="1"/>
                    </pic:cNvPicPr>
                  </pic:nvPicPr>
                  <pic:blipFill>
                    <a:blip r:embed="rId11"/>
                    <a:stretch>
                      <a:fillRect/>
                    </a:stretch>
                  </pic:blipFill>
                  <pic:spPr>
                    <a:xfrm>
                      <a:off x="0" y="0"/>
                      <a:ext cx="5273040" cy="2731770"/>
                    </a:xfrm>
                    <a:prstGeom prst="rect">
                      <a:avLst/>
                    </a:prstGeom>
                    <a:ln>
                      <a:solidFill>
                        <a:schemeClr val="tx1"/>
                      </a:solidFill>
                    </a:ln>
                  </pic:spPr>
                </pic:pic>
              </a:graphicData>
            </a:graphic>
          </wp:inline>
        </w:drawing>
      </w:r>
    </w:p>
    <w:p>
      <w:pPr>
        <w:ind w:firstLine="640" w:firstLineChars="200"/>
        <w:jc w:val="left"/>
        <w:rPr>
          <w:rFonts w:ascii="仿宋_GB2312" w:hAnsi="仿宋_GB2312" w:eastAsia="仿宋_GB2312" w:cs="仿宋_GB2312"/>
          <w:sz w:val="32"/>
          <w:szCs w:val="32"/>
        </w:rPr>
      </w:pPr>
    </w:p>
    <w:p>
      <w:pPr>
        <w:ind w:firstLine="640" w:firstLineChars="20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8.点击“全部类型”，出现</w:t>
      </w:r>
      <w:r>
        <w:rPr>
          <w:rFonts w:hint="eastAsia" w:ascii="仿宋_GB2312" w:hAnsi="仿宋_GB2312" w:eastAsia="仿宋_GB2312" w:cs="仿宋_GB2312"/>
          <w:sz w:val="32"/>
          <w:szCs w:val="32"/>
          <w:lang w:eastAsia="zh-CN"/>
        </w:rPr>
        <w:t>下拉菜单后</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选择</w:t>
      </w:r>
      <w:r>
        <w:rPr>
          <w:rFonts w:hint="eastAsia" w:ascii="仿宋_GB2312" w:hAnsi="仿宋_GB2312" w:eastAsia="仿宋_GB2312" w:cs="仿宋_GB2312"/>
          <w:sz w:val="32"/>
          <w:szCs w:val="32"/>
        </w:rPr>
        <w:t>“行政确认”</w:t>
      </w:r>
      <w:r>
        <w:rPr>
          <w:rFonts w:hint="eastAsia" w:ascii="仿宋_GB2312" w:hAnsi="仿宋_GB2312" w:eastAsia="仿宋_GB2312" w:cs="仿宋_GB2312"/>
          <w:sz w:val="32"/>
          <w:szCs w:val="32"/>
          <w:lang w:eastAsia="zh-CN"/>
        </w:rPr>
        <w:t>。</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drawing>
          <wp:inline distT="0" distB="0" distL="114300" distR="114300">
            <wp:extent cx="5268595" cy="3065780"/>
            <wp:effectExtent l="9525" t="9525" r="17780" b="10795"/>
            <wp:docPr id="31" name="图片 31" descr="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9"/>
                    <pic:cNvPicPr>
                      <a:picLocks noChangeAspect="1"/>
                    </pic:cNvPicPr>
                  </pic:nvPicPr>
                  <pic:blipFill>
                    <a:blip r:embed="rId12"/>
                    <a:stretch>
                      <a:fillRect/>
                    </a:stretch>
                  </pic:blipFill>
                  <pic:spPr>
                    <a:xfrm>
                      <a:off x="0" y="0"/>
                      <a:ext cx="5268595" cy="3065780"/>
                    </a:xfrm>
                    <a:prstGeom prst="rect">
                      <a:avLst/>
                    </a:prstGeom>
                    <a:ln>
                      <a:solidFill>
                        <a:schemeClr val="tx1"/>
                      </a:solidFill>
                    </a:ln>
                  </pic:spPr>
                </pic:pic>
              </a:graphicData>
            </a:graphic>
          </wp:inline>
        </w:drawing>
      </w:r>
    </w:p>
    <w:p>
      <w:pPr>
        <w:ind w:firstLine="640" w:firstLineChars="200"/>
        <w:jc w:val="center"/>
        <w:rPr>
          <w:rFonts w:ascii="仿宋_GB2312" w:hAnsi="仿宋_GB2312" w:eastAsia="仿宋_GB2312" w:cs="仿宋_GB2312"/>
          <w:sz w:val="32"/>
          <w:szCs w:val="32"/>
        </w:rPr>
      </w:pPr>
    </w:p>
    <w:p>
      <w:pPr>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9.点击第1项“对北京传统工艺美术珍品的认定”右侧的“网上办理”。</w:t>
      </w:r>
    </w:p>
    <w:p>
      <w:pPr>
        <w:jc w:val="left"/>
        <w:rPr>
          <w:rFonts w:ascii="仿宋_GB2312" w:hAnsi="仿宋_GB2312" w:eastAsia="仿宋_GB2312" w:cs="仿宋_GB2312"/>
          <w:sz w:val="32"/>
          <w:szCs w:val="32"/>
        </w:rPr>
      </w:pPr>
      <w:r>
        <w:rPr>
          <w:rFonts w:ascii="仿宋_GB2312" w:hAnsi="仿宋_GB2312" w:eastAsia="仿宋_GB2312" w:cs="仿宋_GB2312"/>
          <w:sz w:val="32"/>
          <w:szCs w:val="32"/>
        </w:rPr>
        <w:drawing>
          <wp:inline distT="0" distB="0" distL="0" distR="0">
            <wp:extent cx="5274310" cy="2126615"/>
            <wp:effectExtent l="0" t="0" r="2540" b="698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0" y="0"/>
                      <a:ext cx="5274310" cy="2126615"/>
                    </a:xfrm>
                    <a:prstGeom prst="rect">
                      <a:avLst/>
                    </a:prstGeom>
                  </pic:spPr>
                </pic:pic>
              </a:graphicData>
            </a:graphic>
          </wp:inline>
        </w:drawing>
      </w:r>
    </w:p>
    <w:p>
      <w:pPr>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10.跳转至“北京工艺美术行业服务平台”后，点击左侧“工美杯”，开始申报。</w:t>
      </w:r>
    </w:p>
    <w:p>
      <w:pPr>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drawing>
          <wp:inline distT="0" distB="0" distL="114300" distR="114300">
            <wp:extent cx="5272405" cy="2491740"/>
            <wp:effectExtent l="9525" t="9525" r="13970" b="13335"/>
            <wp:docPr id="36" name="图片 36" descr="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12"/>
                    <pic:cNvPicPr>
                      <a:picLocks noChangeAspect="1"/>
                    </pic:cNvPicPr>
                  </pic:nvPicPr>
                  <pic:blipFill>
                    <a:blip r:embed="rId14"/>
                    <a:stretch>
                      <a:fillRect/>
                    </a:stretch>
                  </pic:blipFill>
                  <pic:spPr>
                    <a:xfrm>
                      <a:off x="0" y="0"/>
                      <a:ext cx="5272405" cy="2491740"/>
                    </a:xfrm>
                    <a:prstGeom prst="rect">
                      <a:avLst/>
                    </a:prstGeom>
                    <a:ln>
                      <a:solidFill>
                        <a:schemeClr val="tx1"/>
                      </a:solidFill>
                    </a:ln>
                  </pic:spPr>
                </pic:pic>
              </a:graphicData>
            </a:graphic>
          </wp:inline>
        </w:drawing>
      </w:r>
    </w:p>
    <w:p>
      <w:pPr>
        <w:ind w:firstLine="560" w:firstLineChars="200"/>
        <w:jc w:val="left"/>
        <w:rPr>
          <w:rFonts w:ascii="仿宋_GB2312" w:hAnsi="仿宋_GB2312" w:eastAsia="仿宋_GB2312" w:cs="仿宋_GB2312"/>
          <w:i/>
          <w:iCs/>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DejaVu Sans">
    <w:panose1 w:val="020B0603030804020204"/>
    <w:charset w:val="00"/>
    <w:family w:val="roman"/>
    <w:pitch w:val="default"/>
    <w:sig w:usb0="E7006EFF" w:usb1="D200FDFF" w:usb2="0A246029" w:usb3="0400200C" w:csb0="600001FF" w:csb1="DFFF0000"/>
  </w:font>
  <w:font w:name="方正书宋_GBK">
    <w:altName w:val="方正宋体S-超大字符集"/>
    <w:panose1 w:val="02000000000000000000"/>
    <w:charset w:val="86"/>
    <w:family w:val="auto"/>
    <w:pitch w:val="default"/>
    <w:sig w:usb0="00000001" w:usb1="08000000" w:usb2="00000000" w:usb3="00000000" w:csb0="00040000" w:csb1="00000000"/>
  </w:font>
  <w:font w:name="方正黑体_GBK">
    <w:altName w:val="思源黑体 CN"/>
    <w:panose1 w:val="02000000000000000000"/>
    <w:charset w:val="00"/>
    <w:family w:val="auto"/>
    <w:pitch w:val="default"/>
    <w:sig w:usb0="00000001" w:usb1="08000000" w:usb2="00000000" w:usb3="00000000" w:csb0="00040000" w:csb1="00000000"/>
  </w:font>
  <w:font w:name="Calibri">
    <w:altName w:val="DejaVu Sans"/>
    <w:panose1 w:val="020F0502020204030204"/>
    <w:charset w:val="00"/>
    <w:family w:val="swiss"/>
    <w:pitch w:val="default"/>
    <w:sig w:usb0="00000000" w:usb1="00000000" w:usb2="00000001" w:usb3="00000000" w:csb0="0000019F" w:csb1="00000000"/>
  </w:font>
  <w:font w:name="方正宋体S-超大字符集">
    <w:panose1 w:val="02000000000000000000"/>
    <w:charset w:val="86"/>
    <w:family w:val="auto"/>
    <w:pitch w:val="default"/>
    <w:sig w:usb0="00000001" w:usb1="08000000" w:usb2="00000000" w:usb3="00000000" w:csb0="00040000" w:csb1="00000000"/>
  </w:font>
  <w:font w:name="思源黑体 CN">
    <w:panose1 w:val="020B0600000000000000"/>
    <w:charset w:val="86"/>
    <w:family w:val="auto"/>
    <w:pitch w:val="default"/>
    <w:sig w:usb0="20000003" w:usb1="2ADF3C10" w:usb2="00000016" w:usb3="00000000" w:csb0="60060107" w:csb1="00000000"/>
  </w:font>
  <w:font w:name="黑体">
    <w:panose1 w:val="02010609060101010101"/>
    <w:charset w:val="86"/>
    <w:family w:val="modern"/>
    <w:pitch w:val="default"/>
    <w:sig w:usb0="800002BF" w:usb1="38CF7CFA" w:usb2="00000016" w:usb3="00000000" w:csb0="00040001" w:csb1="00000000"/>
  </w:font>
  <w:font w:name="方正小标宋简体">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C334599"/>
    <w:rsid w:val="00782010"/>
    <w:rsid w:val="00904BA9"/>
    <w:rsid w:val="009E7F74"/>
    <w:rsid w:val="00B33C77"/>
    <w:rsid w:val="00DC0A67"/>
    <w:rsid w:val="7C334599"/>
    <w:rsid w:val="7DDFA3F8"/>
    <w:rsid w:val="7F3FB8C2"/>
    <w:rsid w:val="7FF0FBC9"/>
    <w:rsid w:val="CDBDCE77"/>
    <w:rsid w:val="DDFFB535"/>
    <w:rsid w:val="FDFF650A"/>
    <w:rsid w:val="FE7742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nhideWhenUsed/>
    <w:qFormat/>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5"/>
    <w:uiPriority w:val="0"/>
    <w:rPr>
      <w:sz w:val="18"/>
      <w:szCs w:val="18"/>
    </w:rPr>
  </w:style>
  <w:style w:type="character" w:customStyle="1" w:styleId="5">
    <w:name w:val="批注框文本 Char"/>
    <w:basedOn w:val="3"/>
    <w:link w:val="2"/>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1.xml"/><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8FAFD"/>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Pages>
  <Words>523</Words>
  <Characters>97</Characters>
  <Lines>1</Lines>
  <Paragraphs>1</Paragraphs>
  <TotalTime>1</TotalTime>
  <ScaleCrop>false</ScaleCrop>
  <LinksUpToDate>false</LinksUpToDate>
  <CharactersWithSpaces>619</CharactersWithSpaces>
  <Application>WPS Office_10.8.0.7041_F1E327BC-269C-435d-A152-05C5408002CA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2020-05-26T14:23:00Z</dcterms:created>
  <dc:creator>admin</dc:creator>
  <cp:lastModifiedBy>admin</cp:lastModifiedBy>
  <dcterms:modified xsi:type="dcterms:W3CDTF">2020-05-26T16:10:09Z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2052-10.8.0.7041</vt:lpwstr>
  </property>
</Properties>
</file>