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cs="Arial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cs="Arial"/>
          <w:color w:val="000000"/>
          <w:sz w:val="44"/>
          <w:szCs w:val="44"/>
        </w:rPr>
        <w:t>2018</w:t>
      </w:r>
      <w:r>
        <w:rPr>
          <w:rFonts w:hint="eastAsia" w:ascii="方正小标宋_GBK" w:eastAsia="方正小标宋_GBK" w:cs="Arial"/>
          <w:color w:val="000000"/>
          <w:sz w:val="44"/>
          <w:szCs w:val="44"/>
        </w:rPr>
        <w:t>年“北京市诚信创建企业”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eastAsia="方正小标宋_GBK" w:cs="Arial"/>
          <w:color w:val="000000"/>
          <w:sz w:val="44"/>
          <w:szCs w:val="44"/>
        </w:rPr>
        <w:t>初审公示名单</w:t>
      </w:r>
      <w:bookmarkEnd w:id="0"/>
    </w:p>
    <w:p>
      <w:pPr>
        <w:spacing w:line="52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（排名不分先后）</w:t>
      </w:r>
    </w:p>
    <w:p>
      <w:pPr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</w:t>
      </w:r>
      <w:r>
        <w:rPr>
          <w:rFonts w:ascii="黑体" w:hAnsi="黑体" w:eastAsia="黑体" w:cs="宋体"/>
          <w:kern w:val="0"/>
          <w:sz w:val="32"/>
          <w:szCs w:val="32"/>
        </w:rPr>
        <w:t>2018</w:t>
      </w:r>
      <w:r>
        <w:rPr>
          <w:rFonts w:hint="eastAsia" w:ascii="黑体" w:hAnsi="黑体" w:eastAsia="黑体" w:cs="宋体"/>
          <w:kern w:val="0"/>
          <w:sz w:val="32"/>
          <w:szCs w:val="32"/>
        </w:rPr>
        <w:t>年新创建企业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、北京东方艺珍花丝镶嵌厂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、北京市珐琅厂有限责任公司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、北京宣明典居古典家具厂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、北京华江文化集团有限公司</w:t>
      </w:r>
    </w:p>
    <w:p>
      <w:pPr>
        <w:spacing w:line="52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、北京汉祖恒晟文化发展有限公司</w:t>
      </w:r>
    </w:p>
    <w:p>
      <w:pPr>
        <w:spacing w:line="52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6、北京握拉菲首饰有限公司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7、北京景瑞泰和文化有限公司</w:t>
      </w:r>
    </w:p>
    <w:p>
      <w:pPr>
        <w:spacing w:line="52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</w:t>
      </w:r>
      <w:r>
        <w:rPr>
          <w:rFonts w:ascii="黑体" w:hAnsi="黑体" w:eastAsia="黑体" w:cs="宋体"/>
          <w:kern w:val="0"/>
          <w:sz w:val="32"/>
          <w:szCs w:val="32"/>
        </w:rPr>
        <w:t>2018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年复审企业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、北京工美集团有限责任公司王府井工美大厦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、满建民漆雕文化发展（北京）有限公司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、北京韶韵九音文化发展有限公司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、北京金润铜业有限公司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、北京华方地毯艺术有限公司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6、北京艺力文化发展有限公司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7、北京晶莹锦玉文化发展有限公司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8、北京玉尊源玉雕艺术有限责任公司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9、北京禄展铭盛文化发展有限责任公司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10、孔氏（北京）国际钟表有限责任公司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11、北京华夏珍宝博物馆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12、北京潭柘紫石砚有限公司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13、北京铭客诚景泰蓝工艺品有限公司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14、北京市通县靛庄花丝厂</w:t>
      </w:r>
    </w:p>
    <w:p/>
    <w:sectPr>
      <w:pgSz w:w="11906" w:h="16838"/>
      <w:pgMar w:top="119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0BA8"/>
    <w:rsid w:val="018E0B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63;&#2319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2018-11-05T06:40:00Z</dcterms:created>
  <dc:creator>呐阳光</dc:creator>
  <cp:lastModifiedBy>呐阳光</cp:lastModifiedBy>
  <dcterms:modified xsi:type="dcterms:W3CDTF">2018-11-05T06:42:33Z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